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0" w:lineRule="auto"/>
        <w:ind w:left="-15.999999999999943" w:right="-14.000000000000057" w:firstLine="0"/>
        <w:jc w:val="left"/>
        <w:rPr>
          <w:b w:val="1"/>
          <w:color w:val="1c4587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3570.0" w:type="dxa"/>
        <w:jc w:val="right"/>
        <w:tblLayout w:type="fixed"/>
        <w:tblLook w:val="0600"/>
      </w:tblPr>
      <w:tblGrid>
        <w:gridCol w:w="390"/>
        <w:gridCol w:w="3180"/>
        <w:tblGridChange w:id="0">
          <w:tblGrid>
            <w:gridCol w:w="390"/>
            <w:gridCol w:w="31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674ea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spacing w:after="0" w:lineRule="auto"/>
              <w:ind w:right="0"/>
              <w:jc w:val="center"/>
              <w:rPr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b w:val="1"/>
                <w:color w:val="ffffff"/>
                <w:sz w:val="30"/>
                <w:szCs w:val="30"/>
                <w:rtl w:val="0"/>
              </w:rPr>
              <w:t xml:space="preserve">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after="0" w:lineRule="auto"/>
              <w:ind w:right="0"/>
              <w:jc w:val="center"/>
              <w:rPr>
                <w:b w:val="1"/>
                <w:color w:val="674ea7"/>
                <w:sz w:val="16"/>
                <w:szCs w:val="16"/>
              </w:rPr>
            </w:pPr>
            <w:r w:rsidDel="00000000" w:rsidR="00000000" w:rsidRPr="00000000">
              <w:rPr>
                <w:b w:val="1"/>
                <w:color w:val="1c4587"/>
                <w:sz w:val="30"/>
                <w:szCs w:val="3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color w:val="674ea7"/>
                <w:sz w:val="30"/>
                <w:szCs w:val="30"/>
                <w:rtl w:val="0"/>
              </w:rPr>
              <w:t xml:space="preserve">K T E R A C I J A </w:t>
            </w:r>
            <w:r w:rsidDel="00000000" w:rsidR="00000000" w:rsidRPr="00000000">
              <w:rPr>
                <w:b w:val="1"/>
                <w:color w:val="674ea7"/>
                <w:sz w:val="18"/>
                <w:szCs w:val="18"/>
                <w:rtl w:val="0"/>
              </w:rPr>
              <w:t xml:space="preserve">d. o. 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pageBreakBefore w:val="0"/>
        <w:spacing w:after="200" w:lineRule="auto"/>
        <w:ind w:left="-15.999999999999943" w:right="-14.000000000000057" w:firstLine="0"/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ind w:left="-15.999999999999943" w:right="-14.000000000000057" w:firstLine="0"/>
        <w:rPr>
          <w:b w:val="1"/>
          <w:color w:val="1c458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ind w:left="-90" w:right="-90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ind w:left="-90" w:right="-90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ind w:left="-90" w:right="-90" w:firstLine="0"/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160" w:line="240" w:lineRule="auto"/>
        <w:ind w:left="-90" w:right="-90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ind w:left="-90" w:right="-90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-90" w:right="-90" w:firstLine="0"/>
        <w:jc w:val="left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IZMJENE I DOPUNE </w:t>
      </w:r>
    </w:p>
    <w:p w:rsidR="00000000" w:rsidDel="00000000" w:rsidP="00000000" w:rsidRDefault="00000000" w:rsidRPr="00000000" w14:paraId="0000000C">
      <w:pPr>
        <w:spacing w:after="0" w:lineRule="auto"/>
        <w:ind w:left="-90" w:right="-90" w:firstLine="0"/>
        <w:jc w:val="left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PPUG</w:t>
      </w:r>
      <w:r w:rsidDel="00000000" w:rsidR="00000000" w:rsidRPr="00000000">
        <w:rPr>
          <w:rFonts w:ascii="Calibri" w:cs="Calibri" w:eastAsia="Calibri" w:hAnsi="Calibri"/>
          <w:sz w:val="60"/>
          <w:szCs w:val="6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color w:val="674ea7"/>
          <w:sz w:val="96"/>
          <w:szCs w:val="96"/>
          <w:rtl w:val="0"/>
        </w:rPr>
        <w:t xml:space="preserve">METKOVIĆA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-90" w:right="-90" w:firstLine="0"/>
        <w:jc w:val="left"/>
        <w:rPr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-90" w:right="-90" w:firstLine="0"/>
        <w:rPr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-90" w:right="-90" w:firstLine="0"/>
        <w:rPr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Rule="auto"/>
        <w:ind w:left="-90" w:right="-90" w:firstLine="0"/>
        <w:jc w:val="left"/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ind w:left="-90" w:right="-90" w:firstLine="0"/>
        <w:jc w:val="both"/>
        <w:rPr>
          <w:b w:val="1"/>
          <w:i w:val="1"/>
          <w:color w:val="0000f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ind w:left="-90" w:right="-90" w:firstLine="0"/>
        <w:jc w:val="both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200" w:line="240" w:lineRule="auto"/>
        <w:ind w:right="11.999999999999318"/>
        <w:jc w:val="both"/>
        <w:rPr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200" w:line="240" w:lineRule="auto"/>
        <w:ind w:right="11.999999999999318"/>
        <w:jc w:val="both"/>
        <w:rPr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hanging="36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Napomena:</w:t>
      </w:r>
    </w:p>
    <w:p w:rsidR="00000000" w:rsidDel="00000000" w:rsidP="00000000" w:rsidRDefault="00000000" w:rsidRPr="00000000" w14:paraId="00000021">
      <w:pPr>
        <w:spacing w:after="200" w:line="276" w:lineRule="auto"/>
        <w:ind w:right="0"/>
        <w:rPr>
          <w:b w:val="1"/>
          <w:i w:val="1"/>
          <w:sz w:val="20"/>
          <w:szCs w:val="20"/>
          <w:highlight w:val="yellow"/>
        </w:rPr>
      </w:pPr>
      <w:r w:rsidDel="00000000" w:rsidR="00000000" w:rsidRPr="00000000">
        <w:rPr>
          <w:sz w:val="20"/>
          <w:szCs w:val="20"/>
          <w:rtl w:val="0"/>
        </w:rPr>
        <w:t xml:space="preserve">Sukladno članku 89. Zakona o prostornom uređenju, Izmjene i dopune PPUG Metkovića provode se u jedinstvenom postupku s izradom i donošenjem UPU poslovne zone Meterizi.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="276" w:lineRule="auto"/>
        <w:ind w:right="0"/>
        <w:rPr>
          <w:b w:val="1"/>
          <w:i w:val="1"/>
          <w:color w:val="674ea7"/>
          <w:sz w:val="20"/>
          <w:szCs w:val="20"/>
        </w:rPr>
      </w:pPr>
      <w:r w:rsidDel="00000000" w:rsidR="00000000" w:rsidRPr="00000000">
        <w:rPr>
          <w:b w:val="1"/>
          <w:i w:val="1"/>
          <w:color w:val="674ea7"/>
          <w:sz w:val="32"/>
          <w:szCs w:val="32"/>
          <w:rtl w:val="0"/>
        </w:rPr>
        <w:t xml:space="preserve">Sadržaj: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11.999999999999318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Odredbe za provedbu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11.999999999999318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Obrazloženje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11.999999999999318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Ovlaštenja i upisi</w:t>
      </w:r>
    </w:p>
    <w:p w:rsidR="00000000" w:rsidDel="00000000" w:rsidP="00000000" w:rsidRDefault="00000000" w:rsidRPr="00000000" w14:paraId="00000026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Grafički dio: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Kartografski prikazi u mjerilu 1:25000: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30" w:line="240" w:lineRule="auto"/>
        <w:ind w:left="0" w:right="0" w:firstLine="720"/>
        <w:jc w:val="left"/>
        <w:rPr/>
      </w:pPr>
      <w:r w:rsidDel="00000000" w:rsidR="00000000" w:rsidRPr="00000000">
        <w:rPr>
          <w:rtl w:val="0"/>
        </w:rPr>
        <w:t xml:space="preserve">1.</w:t>
        <w:tab/>
        <w:t xml:space="preserve">Korištenje i namjena prostora - izvod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30" w:before="0" w:line="240" w:lineRule="auto"/>
        <w:ind w:left="720" w:right="0" w:hanging="45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Kartografski prikazi u mjerilu 1:5000:</w:t>
      </w:r>
    </w:p>
    <w:p w:rsidR="00000000" w:rsidDel="00000000" w:rsidP="00000000" w:rsidRDefault="00000000" w:rsidRPr="00000000" w14:paraId="0000002B">
      <w:pPr>
        <w:ind w:left="0" w:firstLine="720"/>
        <w:rPr/>
      </w:pPr>
      <w:r w:rsidDel="00000000" w:rsidR="00000000" w:rsidRPr="00000000">
        <w:rPr>
          <w:rtl w:val="0"/>
        </w:rPr>
        <w:t xml:space="preserve">4.4.</w:t>
        <w:tab/>
        <w:t xml:space="preserve">Građevinska područja naselja: Metković - jug - izvod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Obvezni prilozi (samo u digitalnom obliku):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Odluka o izradi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Popis sektorskih dokumenata i propisa koje je bilo potrebno poštivati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Zahtjevi iz članka 90. Zakona o prostornom uređenju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Dokaz o dostavi zahtjeva iz članka 90. Zakona o prostornom uređenju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Sažetak za javnu raspravu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Izvješće o javnoj raspravi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Zaključak gradonačelnika o utvrđivanju konačnog prijedloga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Mišljenje Zavoda za prostorno uređenje Dubrovačko-neretvanske županije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Evidencija postupka izrade i donošenja Plana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115.6692913385832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ind w:hanging="360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after="160" w:lineRule="auto"/>
        <w:ind w:right="11.9999999999993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200" w:before="400" w:lineRule="auto"/>
    </w:pPr>
    <w:rPr>
      <w:b w:val="1"/>
      <w:sz w:val="26"/>
      <w:szCs w:val="2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160" w:before="320" w:line="240" w:lineRule="auto"/>
      <w:ind w:right="11.999999999999318"/>
      <w:jc w:val="left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lineRule="auto"/>
    </w:pPr>
    <w:rPr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